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F8E53" w14:textId="77777777" w:rsidR="00EA362E" w:rsidRPr="00AE7C7C" w:rsidRDefault="00EA362E" w:rsidP="00EA362E">
      <w:pPr>
        <w:spacing w:line="240" w:lineRule="auto"/>
        <w:rPr>
          <w:sz w:val="14"/>
          <w:szCs w:val="14"/>
        </w:rPr>
      </w:pPr>
    </w:p>
    <w:p w14:paraId="7833F857" w14:textId="77777777" w:rsidR="00EA362E" w:rsidRPr="0078684C" w:rsidRDefault="00EA362E" w:rsidP="00EA362E">
      <w:pPr>
        <w:pStyle w:val="ToolNumber"/>
        <w:spacing w:line="240" w:lineRule="auto"/>
      </w:pPr>
      <w:r w:rsidRPr="0000267B">
        <w:drawing>
          <wp:anchor distT="0" distB="0" distL="114300" distR="114300" simplePos="0" relativeHeight="252056576" behindDoc="1" locked="0" layoutInCell="1" allowOverlap="1" wp14:anchorId="50A88691" wp14:editId="6C3F4D27">
            <wp:simplePos x="0" y="0"/>
            <wp:positionH relativeFrom="page">
              <wp:posOffset>-38100</wp:posOffset>
            </wp:positionH>
            <wp:positionV relativeFrom="page">
              <wp:posOffset>41275</wp:posOffset>
            </wp:positionV>
            <wp:extent cx="7772400" cy="987425"/>
            <wp:effectExtent l="0" t="0" r="0" b="3175"/>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18</w:t>
      </w:r>
    </w:p>
    <w:p w14:paraId="7CCB1AE9" w14:textId="22F3F3E7" w:rsidR="006C5F3D" w:rsidRPr="00D37D69" w:rsidRDefault="006F66C6" w:rsidP="006C5F3D">
      <w:pPr>
        <w:pStyle w:val="Heading1"/>
      </w:pPr>
      <w:r w:rsidRPr="006C5F3D">
        <w:rPr>
          <w:noProof/>
        </w:rPr>
        <w:drawing>
          <wp:anchor distT="0" distB="0" distL="114300" distR="114300" simplePos="0" relativeHeight="251720704" behindDoc="0" locked="0" layoutInCell="1" allowOverlap="1" wp14:anchorId="537FC143" wp14:editId="71D018BE">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C5F3D" w:rsidRPr="006C5F3D">
        <w:t>Calculation of In-Kind Contributions</w:t>
      </w:r>
    </w:p>
    <w:p w14:paraId="16D45FD9" w14:textId="36A99633" w:rsidR="006C5F3D" w:rsidRPr="006C5F3D" w:rsidRDefault="006C5F3D" w:rsidP="00BC3C42">
      <w:pPr>
        <w:pStyle w:val="BodyText"/>
      </w:pPr>
      <w:r w:rsidRPr="006C5F3D">
        <w:t xml:space="preserve">In Chapter 3, you learned that partnerships are vitally important for afterschool and expanded learning programs. Partners contribute many things to programs that are non-monetary in nature. Capturing this information will not only allow you to calculate the true costs of your program but also allow you to determine the monetary value of each of your partnerships. </w:t>
      </w:r>
    </w:p>
    <w:p w14:paraId="6C6DBD67" w14:textId="77777777" w:rsidR="006C5F3D" w:rsidRDefault="006C5F3D" w:rsidP="004175EA">
      <w:pPr>
        <w:pStyle w:val="Body-AllItalic"/>
        <w:spacing w:after="120"/>
      </w:pPr>
      <w:r w:rsidRPr="006C5F3D">
        <w:rPr>
          <w:b/>
        </w:rPr>
        <w:t>Directions:</w:t>
      </w:r>
      <w:r w:rsidRPr="006C5F3D">
        <w:t xml:space="preserve"> Use this tool to calculate the amount and value of in-kind contributions and services that your partners provide to your afterschool and expanded learning program. This information is useful when seeking out additional funding or making presentations about the contributions of partners to the collaborative effort. By calculating the value of these in-kind contributions, you can make a powerful statement about the community’s support and the stability of the program. </w:t>
      </w:r>
    </w:p>
    <w:tbl>
      <w:tblPr>
        <w:tblStyle w:val="Table-FillIn"/>
        <w:tblW w:w="0" w:type="auto"/>
        <w:tblLayout w:type="fixed"/>
        <w:tblLook w:val="04A0" w:firstRow="1" w:lastRow="0" w:firstColumn="1" w:lastColumn="0" w:noHBand="0" w:noVBand="1"/>
      </w:tblPr>
      <w:tblGrid>
        <w:gridCol w:w="1194"/>
        <w:gridCol w:w="5400"/>
        <w:gridCol w:w="810"/>
        <w:gridCol w:w="2176"/>
      </w:tblGrid>
      <w:tr w:rsidR="0019000D" w14:paraId="24FA52EE" w14:textId="77777777" w:rsidTr="006164F5">
        <w:trPr>
          <w:cnfStyle w:val="100000000000" w:firstRow="1" w:lastRow="0" w:firstColumn="0" w:lastColumn="0" w:oddVBand="0" w:evenVBand="0" w:oddHBand="0" w:evenHBand="0" w:firstRowFirstColumn="0" w:firstRowLastColumn="0" w:lastRowFirstColumn="0" w:lastRowLastColumn="0"/>
          <w:trHeight w:val="288"/>
        </w:trPr>
        <w:tc>
          <w:tcPr>
            <w:tcW w:w="1194" w:type="dxa"/>
            <w:tcBorders>
              <w:bottom w:val="single" w:sz="4" w:space="0" w:color="auto"/>
              <w:right w:val="single" w:sz="4" w:space="0" w:color="FFFFFF" w:themeColor="background1"/>
            </w:tcBorders>
          </w:tcPr>
          <w:p w14:paraId="490813C0" w14:textId="77777777" w:rsidR="0019000D" w:rsidRPr="00403A28" w:rsidRDefault="0019000D" w:rsidP="0019000D">
            <w:pPr>
              <w:pStyle w:val="TableHeader"/>
            </w:pPr>
          </w:p>
        </w:tc>
        <w:tc>
          <w:tcPr>
            <w:tcW w:w="5400" w:type="dxa"/>
            <w:tcBorders>
              <w:left w:val="single" w:sz="4" w:space="0" w:color="FFFFFF" w:themeColor="background1"/>
              <w:bottom w:val="single" w:sz="4" w:space="0" w:color="auto"/>
              <w:right w:val="single" w:sz="4" w:space="0" w:color="FFFFFF" w:themeColor="background1"/>
            </w:tcBorders>
          </w:tcPr>
          <w:p w14:paraId="55EA85FD" w14:textId="77777777" w:rsidR="0019000D" w:rsidRPr="00403A28" w:rsidRDefault="0019000D" w:rsidP="0019000D">
            <w:pPr>
              <w:pStyle w:val="TableHeader"/>
            </w:pPr>
            <w:r w:rsidRPr="00403A28">
              <w:t>Item</w:t>
            </w:r>
          </w:p>
        </w:tc>
        <w:tc>
          <w:tcPr>
            <w:tcW w:w="810" w:type="dxa"/>
            <w:tcBorders>
              <w:left w:val="single" w:sz="4" w:space="0" w:color="FFFFFF" w:themeColor="background1"/>
              <w:right w:val="single" w:sz="4" w:space="0" w:color="FFFFFF" w:themeColor="background1"/>
            </w:tcBorders>
          </w:tcPr>
          <w:p w14:paraId="21232190" w14:textId="77777777" w:rsidR="0019000D" w:rsidRPr="00403A28" w:rsidRDefault="0019000D" w:rsidP="0019000D">
            <w:pPr>
              <w:pStyle w:val="TableHeader"/>
            </w:pPr>
            <w:r w:rsidRPr="00403A28">
              <w:t>Value</w:t>
            </w:r>
          </w:p>
        </w:tc>
        <w:tc>
          <w:tcPr>
            <w:tcW w:w="2176" w:type="dxa"/>
            <w:tcBorders>
              <w:left w:val="single" w:sz="4" w:space="0" w:color="FFFFFF" w:themeColor="background1"/>
            </w:tcBorders>
          </w:tcPr>
          <w:p w14:paraId="5BCB654E" w14:textId="77777777" w:rsidR="0019000D" w:rsidRPr="00403A28" w:rsidRDefault="0019000D" w:rsidP="0019000D">
            <w:pPr>
              <w:pStyle w:val="TableHeader"/>
            </w:pPr>
            <w:r w:rsidRPr="00403A28">
              <w:t>Contribution Details (Who? What?</w:t>
            </w:r>
            <w:r>
              <w:t xml:space="preserve"> When?</w:t>
            </w:r>
            <w:r w:rsidRPr="00403A28">
              <w:t>)</w:t>
            </w:r>
          </w:p>
        </w:tc>
      </w:tr>
      <w:tr w:rsidR="0086480A" w14:paraId="28B0A302" w14:textId="77777777" w:rsidTr="006164F5">
        <w:trPr>
          <w:trHeight w:val="144"/>
        </w:trPr>
        <w:tc>
          <w:tcPr>
            <w:tcW w:w="1194" w:type="dxa"/>
            <w:shd w:val="clear" w:color="auto" w:fill="E6E6E6"/>
          </w:tcPr>
          <w:p w14:paraId="324C3606" w14:textId="77777777" w:rsidR="0086480A" w:rsidRPr="009857BD" w:rsidRDefault="0086480A" w:rsidP="0086480A">
            <w:pPr>
              <w:pStyle w:val="Table-TextFL"/>
            </w:pPr>
            <w:r w:rsidRPr="009857BD">
              <w:t>Space</w:t>
            </w:r>
          </w:p>
        </w:tc>
        <w:tc>
          <w:tcPr>
            <w:tcW w:w="5400" w:type="dxa"/>
            <w:shd w:val="clear" w:color="auto" w:fill="E6E6E6"/>
          </w:tcPr>
          <w:p w14:paraId="30C15B8C" w14:textId="77777777" w:rsidR="0086480A" w:rsidRPr="002D3EEB" w:rsidRDefault="0086480A" w:rsidP="002D3EEB">
            <w:pPr>
              <w:pStyle w:val="Table-Bullet1"/>
              <w:rPr>
                <w:spacing w:val="-6"/>
              </w:rPr>
            </w:pPr>
            <w:r w:rsidRPr="002D3EEB">
              <w:rPr>
                <w:spacing w:val="-6"/>
              </w:rPr>
              <w:t>Use the fair rental value. Real estate agents or property managers should be able to give you an estimate of that value. Be sure to include the value of utilities—heating, cooling, electricity, and phone—if they are provided.</w:t>
            </w:r>
          </w:p>
        </w:tc>
        <w:tc>
          <w:tcPr>
            <w:tcW w:w="810" w:type="dxa"/>
          </w:tcPr>
          <w:p w14:paraId="04E1DBC3" w14:textId="77777777" w:rsidR="0086480A" w:rsidRPr="0086480A" w:rsidRDefault="0086480A" w:rsidP="00F20D93">
            <w:r w:rsidRPr="0086480A">
              <w:t>$</w:t>
            </w:r>
          </w:p>
        </w:tc>
        <w:tc>
          <w:tcPr>
            <w:tcW w:w="2176" w:type="dxa"/>
          </w:tcPr>
          <w:p w14:paraId="67B86968" w14:textId="77777777" w:rsidR="0086480A" w:rsidRDefault="0086480A" w:rsidP="00F20D93"/>
        </w:tc>
      </w:tr>
      <w:tr w:rsidR="0086480A" w14:paraId="65BE7E3E" w14:textId="77777777" w:rsidTr="006164F5">
        <w:trPr>
          <w:trHeight w:val="144"/>
        </w:trPr>
        <w:tc>
          <w:tcPr>
            <w:tcW w:w="1194" w:type="dxa"/>
            <w:shd w:val="clear" w:color="auto" w:fill="E6E6E6"/>
          </w:tcPr>
          <w:p w14:paraId="1B6A509B" w14:textId="77777777" w:rsidR="0086480A" w:rsidRPr="009857BD" w:rsidRDefault="0086480A" w:rsidP="0086480A">
            <w:pPr>
              <w:pStyle w:val="Table-TextFL"/>
            </w:pPr>
            <w:r w:rsidRPr="009857BD">
              <w:t>Goods and Supplies</w:t>
            </w:r>
          </w:p>
        </w:tc>
        <w:tc>
          <w:tcPr>
            <w:tcW w:w="5400" w:type="dxa"/>
            <w:shd w:val="clear" w:color="auto" w:fill="E6E6E6"/>
          </w:tcPr>
          <w:p w14:paraId="58A30BB8" w14:textId="77777777" w:rsidR="0086480A" w:rsidRPr="002D3EEB" w:rsidRDefault="0086480A" w:rsidP="002D3EEB">
            <w:pPr>
              <w:pStyle w:val="Table-Bullet1"/>
              <w:rPr>
                <w:spacing w:val="-6"/>
              </w:rPr>
            </w:pPr>
            <w:r w:rsidRPr="002D3EEB">
              <w:rPr>
                <w:spacing w:val="-6"/>
              </w:rPr>
              <w:t xml:space="preserve">Calculate the fair market value of each item (i.e., what it would cost to purchase it). </w:t>
            </w:r>
          </w:p>
        </w:tc>
        <w:tc>
          <w:tcPr>
            <w:tcW w:w="810" w:type="dxa"/>
          </w:tcPr>
          <w:p w14:paraId="020581A4" w14:textId="77777777" w:rsidR="0086480A" w:rsidRPr="0086480A" w:rsidRDefault="0086480A" w:rsidP="00F20D93">
            <w:r w:rsidRPr="0086480A">
              <w:t>$</w:t>
            </w:r>
          </w:p>
        </w:tc>
        <w:tc>
          <w:tcPr>
            <w:tcW w:w="2176" w:type="dxa"/>
          </w:tcPr>
          <w:p w14:paraId="284B245B" w14:textId="77777777" w:rsidR="0086480A" w:rsidRDefault="0086480A" w:rsidP="00F20D93"/>
        </w:tc>
      </w:tr>
      <w:tr w:rsidR="0086480A" w14:paraId="6AF03496" w14:textId="77777777" w:rsidTr="006164F5">
        <w:trPr>
          <w:trHeight w:val="144"/>
        </w:trPr>
        <w:tc>
          <w:tcPr>
            <w:tcW w:w="1194" w:type="dxa"/>
            <w:shd w:val="clear" w:color="auto" w:fill="E6E6E6"/>
          </w:tcPr>
          <w:p w14:paraId="57FDF06E" w14:textId="77777777" w:rsidR="0086480A" w:rsidRPr="009857BD" w:rsidRDefault="0086480A" w:rsidP="0086480A">
            <w:pPr>
              <w:pStyle w:val="Table-TextFL"/>
            </w:pPr>
            <w:r w:rsidRPr="009857BD">
              <w:t>Equipment</w:t>
            </w:r>
          </w:p>
        </w:tc>
        <w:tc>
          <w:tcPr>
            <w:tcW w:w="5400" w:type="dxa"/>
            <w:shd w:val="clear" w:color="auto" w:fill="E6E6E6"/>
          </w:tcPr>
          <w:p w14:paraId="43FD98FB" w14:textId="77777777" w:rsidR="0086480A" w:rsidRPr="002D3EEB" w:rsidRDefault="0086480A" w:rsidP="002D3EEB">
            <w:pPr>
              <w:pStyle w:val="Table-Bullet1"/>
              <w:rPr>
                <w:spacing w:val="-6"/>
              </w:rPr>
            </w:pPr>
            <w:r w:rsidRPr="002D3EEB">
              <w:rPr>
                <w:spacing w:val="-6"/>
              </w:rPr>
              <w:t>Calculate the fair market value. Check with an equipment rental company to find out what it would cost to rent similar equipment.</w:t>
            </w:r>
          </w:p>
        </w:tc>
        <w:tc>
          <w:tcPr>
            <w:tcW w:w="810" w:type="dxa"/>
          </w:tcPr>
          <w:p w14:paraId="72E2BA09" w14:textId="77777777" w:rsidR="0086480A" w:rsidRPr="0086480A" w:rsidRDefault="0086480A" w:rsidP="00F20D93">
            <w:r w:rsidRPr="0086480A">
              <w:t>$</w:t>
            </w:r>
          </w:p>
        </w:tc>
        <w:tc>
          <w:tcPr>
            <w:tcW w:w="2176" w:type="dxa"/>
          </w:tcPr>
          <w:p w14:paraId="7F07D7D6" w14:textId="77777777" w:rsidR="0086480A" w:rsidRDefault="0086480A" w:rsidP="00F20D93"/>
        </w:tc>
      </w:tr>
      <w:tr w:rsidR="0086480A" w14:paraId="4CD1B60F" w14:textId="77777777" w:rsidTr="006164F5">
        <w:trPr>
          <w:trHeight w:val="144"/>
        </w:trPr>
        <w:tc>
          <w:tcPr>
            <w:tcW w:w="1194" w:type="dxa"/>
            <w:shd w:val="clear" w:color="auto" w:fill="E6E6E6"/>
          </w:tcPr>
          <w:p w14:paraId="1C1E4479" w14:textId="77777777" w:rsidR="0086480A" w:rsidRPr="009857BD" w:rsidRDefault="0086480A" w:rsidP="0086480A">
            <w:pPr>
              <w:pStyle w:val="Table-TextFL"/>
            </w:pPr>
            <w:r w:rsidRPr="009857BD">
              <w:t>Personnel Services</w:t>
            </w:r>
          </w:p>
        </w:tc>
        <w:tc>
          <w:tcPr>
            <w:tcW w:w="5400" w:type="dxa"/>
            <w:shd w:val="clear" w:color="auto" w:fill="E6E6E6"/>
          </w:tcPr>
          <w:p w14:paraId="503591AD" w14:textId="77777777" w:rsidR="0086480A" w:rsidRPr="002D3EEB" w:rsidRDefault="0086480A" w:rsidP="002D3EEB">
            <w:pPr>
              <w:pStyle w:val="Table-Bullet1"/>
              <w:rPr>
                <w:spacing w:val="-6"/>
              </w:rPr>
            </w:pPr>
            <w:r w:rsidRPr="002D3EEB">
              <w:rPr>
                <w:spacing w:val="-6"/>
              </w:rPr>
              <w:t>If another agency contributes staff members to your program, you can calculate the value of those staff members by dividing their combined annual salary by 2,080 (the number of hours in a 52-week work year) to obtain the hourly rate, then multiplying by the number of hours of service. The result is the value of their in-kind contribution.</w:t>
            </w:r>
          </w:p>
          <w:p w14:paraId="32226AC5" w14:textId="77777777" w:rsidR="0086480A" w:rsidRPr="002D3EEB" w:rsidRDefault="0086480A" w:rsidP="002D3EEB">
            <w:pPr>
              <w:pStyle w:val="Table-Bullet1"/>
              <w:rPr>
                <w:spacing w:val="-6"/>
              </w:rPr>
            </w:pPr>
            <w:r w:rsidRPr="002D3EEB">
              <w:rPr>
                <w:spacing w:val="-6"/>
              </w:rPr>
              <w:t>For volunteers, there are two ways that you can calculate the value of their efforts. For nonprofessional volunteers, use the minimum wage and multiply by the number of hours served. For professional volunteers, use the same formula that you would for personnel services.</w:t>
            </w:r>
          </w:p>
        </w:tc>
        <w:tc>
          <w:tcPr>
            <w:tcW w:w="810" w:type="dxa"/>
          </w:tcPr>
          <w:p w14:paraId="6D66E7FF" w14:textId="77777777" w:rsidR="0086480A" w:rsidRPr="0086480A" w:rsidRDefault="0086480A" w:rsidP="00F20D93">
            <w:r w:rsidRPr="0086480A">
              <w:t>$</w:t>
            </w:r>
          </w:p>
        </w:tc>
        <w:tc>
          <w:tcPr>
            <w:tcW w:w="2176" w:type="dxa"/>
          </w:tcPr>
          <w:p w14:paraId="1FDF1913" w14:textId="77777777" w:rsidR="0086480A" w:rsidRDefault="0086480A" w:rsidP="00F20D93"/>
        </w:tc>
      </w:tr>
      <w:tr w:rsidR="0086480A" w14:paraId="4D1FB9FC" w14:textId="77777777" w:rsidTr="006164F5">
        <w:trPr>
          <w:trHeight w:val="144"/>
        </w:trPr>
        <w:tc>
          <w:tcPr>
            <w:tcW w:w="1194" w:type="dxa"/>
            <w:shd w:val="clear" w:color="auto" w:fill="E6E6E6"/>
          </w:tcPr>
          <w:p w14:paraId="24423438" w14:textId="77777777" w:rsidR="0086480A" w:rsidRPr="009857BD" w:rsidRDefault="0086480A" w:rsidP="0086480A">
            <w:pPr>
              <w:pStyle w:val="Table-TextFL"/>
            </w:pPr>
            <w:r w:rsidRPr="009857BD">
              <w:t>Other</w:t>
            </w:r>
          </w:p>
        </w:tc>
        <w:tc>
          <w:tcPr>
            <w:tcW w:w="5400" w:type="dxa"/>
            <w:shd w:val="clear" w:color="auto" w:fill="E6E6E6"/>
          </w:tcPr>
          <w:p w14:paraId="1ADA08DC" w14:textId="77777777" w:rsidR="0086480A" w:rsidRPr="002D3EEB" w:rsidRDefault="0086480A" w:rsidP="002D3EEB">
            <w:pPr>
              <w:pStyle w:val="Table-Bullet1"/>
              <w:rPr>
                <w:spacing w:val="-6"/>
              </w:rPr>
            </w:pPr>
            <w:r w:rsidRPr="002D3EEB">
              <w:rPr>
                <w:spacing w:val="-6"/>
              </w:rPr>
              <w:t xml:space="preserve">Often, partners will do mailings, make copies, and send staff members to meetings. All of these are </w:t>
            </w:r>
            <w:r w:rsidRPr="002D3EEB">
              <w:rPr>
                <w:spacing w:val="-6"/>
              </w:rPr>
              <w:br/>
              <w:t>in-kind contributions. Be sure to count them.</w:t>
            </w:r>
          </w:p>
        </w:tc>
        <w:tc>
          <w:tcPr>
            <w:tcW w:w="810" w:type="dxa"/>
          </w:tcPr>
          <w:p w14:paraId="3992A275" w14:textId="77777777" w:rsidR="0086480A" w:rsidRPr="0086480A" w:rsidRDefault="0086480A" w:rsidP="00F20D93">
            <w:r w:rsidRPr="0086480A">
              <w:t>$</w:t>
            </w:r>
          </w:p>
        </w:tc>
        <w:tc>
          <w:tcPr>
            <w:tcW w:w="2176" w:type="dxa"/>
          </w:tcPr>
          <w:p w14:paraId="496F47BB" w14:textId="77777777" w:rsidR="0086480A" w:rsidRDefault="0086480A" w:rsidP="00F20D93"/>
        </w:tc>
      </w:tr>
      <w:tr w:rsidR="0086480A" w14:paraId="622F2C53" w14:textId="77777777" w:rsidTr="006164F5">
        <w:trPr>
          <w:trHeight w:val="144"/>
        </w:trPr>
        <w:tc>
          <w:tcPr>
            <w:tcW w:w="6594" w:type="dxa"/>
            <w:gridSpan w:val="2"/>
            <w:shd w:val="clear" w:color="auto" w:fill="E6E6E6"/>
          </w:tcPr>
          <w:p w14:paraId="552EC559" w14:textId="77777777" w:rsidR="0086480A" w:rsidRPr="0086480A" w:rsidRDefault="0086480A" w:rsidP="0086480A">
            <w:pPr>
              <w:pStyle w:val="Table-TextFR"/>
              <w:rPr>
                <w:b/>
                <w:i/>
                <w:sz w:val="20"/>
              </w:rPr>
            </w:pPr>
            <w:r w:rsidRPr="0086480A">
              <w:rPr>
                <w:b/>
              </w:rPr>
              <w:t>Total In-Kind Contributions</w:t>
            </w:r>
          </w:p>
        </w:tc>
        <w:tc>
          <w:tcPr>
            <w:tcW w:w="810" w:type="dxa"/>
          </w:tcPr>
          <w:p w14:paraId="7E55C823" w14:textId="77777777" w:rsidR="0086480A" w:rsidRPr="0086480A" w:rsidRDefault="0086480A" w:rsidP="00F20D93">
            <w:r w:rsidRPr="0086480A">
              <w:t>$</w:t>
            </w:r>
          </w:p>
        </w:tc>
        <w:tc>
          <w:tcPr>
            <w:tcW w:w="2176" w:type="dxa"/>
          </w:tcPr>
          <w:p w14:paraId="3BEBDAA1" w14:textId="77777777" w:rsidR="0086480A" w:rsidRDefault="0086480A" w:rsidP="00F20D93"/>
        </w:tc>
      </w:tr>
    </w:tbl>
    <w:p w14:paraId="14F6B93E" w14:textId="77777777" w:rsidR="00CA527B" w:rsidRDefault="00CA527B">
      <w:pPr>
        <w:spacing w:after="200"/>
      </w:pPr>
      <w:bookmarkStart w:id="0" w:name="_GoBack"/>
      <w:bookmarkEnd w:id="0"/>
    </w:p>
    <w:sectPr w:rsidR="00CA527B"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9F901" w14:textId="77777777" w:rsidR="00787420" w:rsidRDefault="00787420" w:rsidP="0078684C">
      <w:r>
        <w:separator/>
      </w:r>
    </w:p>
  </w:endnote>
  <w:endnote w:type="continuationSeparator" w:id="0">
    <w:p w14:paraId="5A5CE1A1" w14:textId="77777777" w:rsidR="00787420" w:rsidRDefault="0078742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787420">
      <w:fldChar w:fldCharType="begin"/>
    </w:r>
    <w:r w:rsidR="00787420">
      <w:instrText xml:space="preserve"> STYLEREF  ToolNumber  \* MERGEFORMAT </w:instrText>
    </w:r>
    <w:r w:rsidR="00787420">
      <w:fldChar w:fldCharType="separate"/>
    </w:r>
    <w:r w:rsidR="00FD11E7">
      <w:rPr>
        <w:noProof/>
      </w:rPr>
      <w:t>18</w:t>
    </w:r>
    <w:r w:rsidR="00787420">
      <w:rPr>
        <w:noProof/>
      </w:rPr>
      <w:fldChar w:fldCharType="end"/>
    </w:r>
    <w:r w:rsidRPr="00C66F5C">
      <w:t xml:space="preserve"> </w:t>
    </w:r>
    <w:r>
      <w:t xml:space="preserve">  |   Page </w:t>
    </w:r>
    <w:r>
      <w:fldChar w:fldCharType="begin"/>
    </w:r>
    <w:r>
      <w:instrText xml:space="preserve"> PAGE  \* MERGEFORMAT </w:instrText>
    </w:r>
    <w:r>
      <w:fldChar w:fldCharType="separate"/>
    </w:r>
    <w:r w:rsidR="00FD11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AFB59" w14:textId="77777777" w:rsidR="00787420" w:rsidRDefault="00787420" w:rsidP="0078684C">
      <w:r>
        <w:separator/>
      </w:r>
    </w:p>
  </w:footnote>
  <w:footnote w:type="continuationSeparator" w:id="0">
    <w:p w14:paraId="2BAF947D" w14:textId="77777777" w:rsidR="00787420" w:rsidRDefault="0078742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2A78"/>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420"/>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11E7"/>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44DE936-EEC5-4324-BA12-A3BDFA5F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2014-03-25T15:09:00Z</dcterms:created>
  <dcterms:modified xsi:type="dcterms:W3CDTF">2014-03-25T15:44:00Z</dcterms:modified>
</cp:coreProperties>
</file>